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Id="R16F0F319" Type="http://schemas.openxmlformats.org/officeDocument/2006/relationships/officeDocument" Target="/word/document.xml" /><Relationship Id="coreR16F0F319" Type="http://schemas.openxmlformats.org/package/2006/relationships/metadata/core-properties" Target="/docProps/core.xml" /><Relationship Id="customR16F0F319" Type="http://schemas.openxmlformats.org/officeDocument/2006/relationships/custom-properties" Target="/docProps/custom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ackground w:color="FFFFFF"/>
  <w:body>
    <w:p>
      <w:pPr>
        <w:pStyle w:val="P1"/>
        <w:framePr w:w="8306" w:h="1225" w:hRule="exact" w:vAnchor="page" w:hAnchor="margin" w:x="28" w:y="720"/>
        <w:rPr>
          <w:rStyle w:val="C4"/>
          <w:rtl w:val="0"/>
        </w:rPr>
      </w:pPr>
      <w:r>
        <w:rPr>
          <w:rStyle w:val="C4"/>
          <w:rtl w:val="0"/>
        </w:rPr>
        <w:t>AUREUS Polska Sp. zo.o.</w:t>
        <w:br w:type="textWrapping"/>
        <w:t>Wyzwolenia 183</w:t>
        <w:br w:type="textWrapping"/>
        <w:t>43-365 Wilkowice - Poland</w:t>
        <w:br w:type="textWrapping"/>
        <w:t>Tel.: 0048 33 863 14 05 - Fax: 0048 33 863 14 05</w:t>
        <w:br w:type="textWrapping"/>
        <w:t>info@aureus-polska.pl</w:t>
        <w:br w:type="textWrapping"/>
        <w:t>https://www.aureus-polska.pl</w:t>
      </w:r>
    </w:p>
    <w:p>
      <w:pPr>
        <w:pStyle w:val="P2"/>
        <w:framePr w:w="10404" w:h="343" w:hRule="exact" w:vAnchor="page" w:hAnchor="margin" w:x="28" w:y="2324"/>
        <w:rPr>
          <w:rStyle w:val="C5"/>
          <w:rtl w:val="0"/>
        </w:rPr>
      </w:pPr>
      <w:r>
        <w:rPr>
          <w:rStyle w:val="C5"/>
          <w:rtl w:val="0"/>
        </w:rPr>
        <w:t>Arkusz danych składników</w:t>
      </w:r>
    </w:p>
    <w:p>
      <w:pPr>
        <w:pStyle w:val="P3"/>
        <w:framePr w:w="10404" w:h="253" w:hRule="exact" w:vAnchor="page" w:hAnchor="margin" w:x="28" w:y="2667"/>
        <w:rPr>
          <w:rStyle w:val="C6"/>
          <w:rtl w:val="0"/>
        </w:rPr>
      </w:pPr>
      <w:r>
        <w:rPr>
          <w:rStyle w:val="C6"/>
          <w:rtl w:val="0"/>
        </w:rPr>
        <w:t>według 648/2004/WE , 907/2006/WE</w:t>
      </w:r>
    </w:p>
    <w:p>
      <w:pPr>
        <w:pStyle w:val="P4"/>
        <w:framePr w:w="2585" w:h="238" w:hRule="exact" w:vAnchor="page" w:hAnchor="margin" w:x="39" w:y="3194"/>
        <w:rPr>
          <w:rStyle w:val="C7"/>
          <w:rtl w:val="0"/>
        </w:rPr>
      </w:pPr>
      <w:r>
        <w:rPr>
          <w:rStyle w:val="C7"/>
          <w:rtl w:val="0"/>
        </w:rPr>
        <w:t>Identyfikator produktu:</w:t>
      </w:r>
    </w:p>
    <w:p>
      <w:pPr>
        <w:pStyle w:val="P4"/>
        <w:framePr w:w="7050" w:h="265" w:hRule="exact" w:vAnchor="page" w:hAnchor="margin" w:x="2681" w:y="3194"/>
        <w:rPr>
          <w:rStyle w:val="C7"/>
          <w:rtl w:val="0"/>
        </w:rPr>
      </w:pPr>
      <w:r>
        <w:rPr>
          <w:rStyle w:val="C7"/>
          <w:rtl w:val="0"/>
        </w:rPr>
        <w:t>SMART eco wash hipoalergiczne listki 2 w 1 - piorące i zmniejkczające 0086, 0087</w:t>
      </w:r>
    </w:p>
    <w:p>
      <w:pPr>
        <w:pStyle w:val="P5"/>
        <w:framePr w:w="10376" w:h="340" w:hRule="exact" w:vAnchor="page" w:hAnchor="margin" w:x="45" w:y="3896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3911"/>
        <w:rPr>
          <w:rStyle w:val="C8"/>
          <w:rtl w:val="0"/>
        </w:rPr>
      </w:pPr>
      <w:r>
        <w:rPr>
          <w:rStyle w:val="C8"/>
          <w:rtl w:val="0"/>
        </w:rPr>
        <w:t>10 % lub więcej</w:t>
      </w:r>
    </w:p>
    <w:p>
      <w:pPr>
        <w:pStyle w:val="P7"/>
        <w:framePr w:w="1214" w:h="386" w:hRule="exact" w:vAnchor="page" w:hAnchor="margin" w:x="45" w:y="4236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4251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4236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4251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4236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4251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4236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4251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4622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4637"/>
        <w:rPr>
          <w:rStyle w:val="C11"/>
          <w:rtl w:val="0"/>
        </w:rPr>
      </w:pPr>
      <w:r>
        <w:rPr>
          <w:rStyle w:val="C11"/>
          <w:rtl w:val="0"/>
        </w:rPr>
        <w:t>25038-59-9</w:t>
      </w:r>
    </w:p>
    <w:p>
      <w:pPr>
        <w:pStyle w:val="P11"/>
        <w:framePr w:w="4724" w:h="340" w:hRule="exact" w:vAnchor="page" w:hAnchor="margin" w:x="1304" w:y="4622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4637"/>
        <w:rPr>
          <w:rStyle w:val="C11"/>
          <w:rtl w:val="0"/>
        </w:rPr>
      </w:pPr>
      <w:r>
        <w:rPr>
          <w:rStyle w:val="C11"/>
          <w:rtl w:val="0"/>
        </w:rPr>
        <w:t>Tereftalat polietylenu</w:t>
      </w:r>
    </w:p>
    <w:p>
      <w:pPr>
        <w:pStyle w:val="P11"/>
        <w:framePr w:w="2918" w:h="340" w:hRule="exact" w:vAnchor="page" w:hAnchor="margin" w:x="6074" w:y="4622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4637"/>
        <w:rPr>
          <w:rStyle w:val="C11"/>
          <w:rtl w:val="0"/>
        </w:rPr>
      </w:pPr>
      <w:r>
        <w:rPr>
          <w:rStyle w:val="C11"/>
          <w:rtl w:val="0"/>
        </w:rPr>
        <w:t>POLYETHYLENE TEREPHTHALATE</w:t>
      </w:r>
    </w:p>
    <w:p>
      <w:pPr>
        <w:pStyle w:val="P13"/>
        <w:framePr w:w="1384" w:h="340" w:hRule="exact" w:vAnchor="page" w:hAnchor="margin" w:x="9036" w:y="4622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4637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5275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5290"/>
        <w:rPr>
          <w:rStyle w:val="C8"/>
          <w:rtl w:val="0"/>
        </w:rPr>
      </w:pPr>
      <w:r>
        <w:rPr>
          <w:rStyle w:val="C8"/>
          <w:rtl w:val="0"/>
        </w:rPr>
        <w:t>0,1 % lub więcej, lecz mniej niż 1 %</w:t>
      </w:r>
    </w:p>
    <w:p>
      <w:pPr>
        <w:pStyle w:val="P7"/>
        <w:framePr w:w="1214" w:h="386" w:hRule="exact" w:vAnchor="page" w:hAnchor="margin" w:x="45" w:y="5615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5630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5615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5630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5615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5630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5615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5630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40" w:hRule="exact" w:vAnchor="page" w:hAnchor="margin" w:x="45" w:y="6001"/>
        <w:rPr>
          <w:rStyle w:val="C3"/>
          <w:rtl w:val="0"/>
        </w:rPr>
      </w:pPr>
    </w:p>
    <w:p>
      <w:pPr>
        <w:pStyle w:val="P12"/>
        <w:framePr w:w="1188" w:h="310" w:hRule="exact" w:vAnchor="page" w:hAnchor="margin" w:x="43" w:y="6016"/>
        <w:rPr>
          <w:rStyle w:val="C11"/>
          <w:rtl w:val="0"/>
        </w:rPr>
      </w:pPr>
      <w:r>
        <w:rPr>
          <w:rStyle w:val="C11"/>
          <w:rtl w:val="0"/>
        </w:rPr>
        <w:t>27344-41-8</w:t>
      </w:r>
    </w:p>
    <w:p>
      <w:pPr>
        <w:pStyle w:val="P11"/>
        <w:framePr w:w="4724" w:h="340" w:hRule="exact" w:vAnchor="page" w:hAnchor="margin" w:x="1304" w:y="6001"/>
        <w:rPr>
          <w:rStyle w:val="C3"/>
          <w:rtl w:val="0"/>
        </w:rPr>
      </w:pPr>
    </w:p>
    <w:p>
      <w:pPr>
        <w:pStyle w:val="P12"/>
        <w:framePr w:w="4698" w:h="310" w:hRule="exact" w:vAnchor="page" w:hAnchor="margin" w:x="1302" w:y="6016"/>
        <w:rPr>
          <w:rStyle w:val="C11"/>
          <w:rtl w:val="0"/>
        </w:rPr>
      </w:pPr>
      <w:r>
        <w:rPr>
          <w:rStyle w:val="C11"/>
          <w:rtl w:val="0"/>
        </w:rPr>
        <w:t>Sulfonianu diaminostilbenu sodowego</w:t>
      </w:r>
    </w:p>
    <w:p>
      <w:pPr>
        <w:pStyle w:val="P11"/>
        <w:framePr w:w="2918" w:h="340" w:hRule="exact" w:vAnchor="page" w:hAnchor="margin" w:x="6074" w:y="6001"/>
        <w:rPr>
          <w:rStyle w:val="C3"/>
          <w:rtl w:val="0"/>
        </w:rPr>
      </w:pPr>
    </w:p>
    <w:p>
      <w:pPr>
        <w:pStyle w:val="P12"/>
        <w:framePr w:w="2892" w:h="310" w:hRule="exact" w:vAnchor="page" w:hAnchor="margin" w:x="6072" w:y="6016"/>
        <w:rPr>
          <w:rStyle w:val="C11"/>
          <w:rtl w:val="0"/>
        </w:rPr>
      </w:pPr>
      <w:r>
        <w:rPr>
          <w:rStyle w:val="C11"/>
          <w:rtl w:val="0"/>
        </w:rPr>
        <w:t>DISODIUM DISTYRYLBIPHENYL DISULFONATE</w:t>
      </w:r>
    </w:p>
    <w:p>
      <w:pPr>
        <w:pStyle w:val="P13"/>
        <w:framePr w:w="1384" w:h="340" w:hRule="exact" w:vAnchor="page" w:hAnchor="margin" w:x="9036" w:y="6001"/>
        <w:rPr>
          <w:rStyle w:val="C3"/>
          <w:rtl w:val="0"/>
        </w:rPr>
      </w:pPr>
    </w:p>
    <w:p>
      <w:pPr>
        <w:pStyle w:val="P14"/>
        <w:framePr w:w="1388" w:h="310" w:hRule="exact" w:vAnchor="page" w:hAnchor="margin" w:x="9034" w:y="6016"/>
        <w:rPr>
          <w:rStyle w:val="C12"/>
          <w:rtl w:val="0"/>
        </w:rPr>
      </w:pPr>
    </w:p>
    <w:p>
      <w:pPr>
        <w:pStyle w:val="P5"/>
        <w:framePr w:w="10376" w:h="340" w:hRule="exact" w:vAnchor="page" w:hAnchor="margin" w:x="45" w:y="6653"/>
        <w:rPr>
          <w:rStyle w:val="C3"/>
          <w:rtl w:val="0"/>
        </w:rPr>
      </w:pPr>
    </w:p>
    <w:p>
      <w:pPr>
        <w:pStyle w:val="P6"/>
        <w:framePr w:w="10380" w:h="325" w:hRule="exact" w:vAnchor="page" w:hAnchor="margin" w:x="43" w:y="6668"/>
        <w:rPr>
          <w:rStyle w:val="C8"/>
          <w:rtl w:val="0"/>
        </w:rPr>
      </w:pPr>
      <w:r>
        <w:rPr>
          <w:rStyle w:val="C8"/>
          <w:rtl w:val="0"/>
        </w:rPr>
        <w:t>mniej niż 0,1 %</w:t>
      </w:r>
    </w:p>
    <w:p>
      <w:pPr>
        <w:pStyle w:val="P7"/>
        <w:framePr w:w="1214" w:h="386" w:hRule="exact" w:vAnchor="page" w:hAnchor="margin" w:x="45" w:y="6993"/>
        <w:rPr>
          <w:rStyle w:val="C3"/>
          <w:rtl w:val="0"/>
        </w:rPr>
      </w:pPr>
    </w:p>
    <w:p>
      <w:pPr>
        <w:pStyle w:val="P8"/>
        <w:framePr w:w="1188" w:h="356" w:hRule="exact" w:vAnchor="page" w:hAnchor="margin" w:x="43" w:y="7008"/>
        <w:rPr>
          <w:rStyle w:val="C9"/>
          <w:rtl w:val="0"/>
        </w:rPr>
      </w:pPr>
      <w:r>
        <w:rPr>
          <w:rStyle w:val="C9"/>
          <w:rtl w:val="0"/>
        </w:rPr>
        <w:t>CAS</w:t>
      </w:r>
    </w:p>
    <w:p>
      <w:pPr>
        <w:pStyle w:val="P7"/>
        <w:framePr w:w="4724" w:h="386" w:hRule="exact" w:vAnchor="page" w:hAnchor="margin" w:x="1304" w:y="6993"/>
        <w:rPr>
          <w:rStyle w:val="C3"/>
          <w:rtl w:val="0"/>
        </w:rPr>
      </w:pPr>
    </w:p>
    <w:p>
      <w:pPr>
        <w:pStyle w:val="P8"/>
        <w:framePr w:w="4698" w:h="356" w:hRule="exact" w:vAnchor="page" w:hAnchor="margin" w:x="1302" w:y="7008"/>
        <w:rPr>
          <w:rStyle w:val="C9"/>
          <w:rtl w:val="0"/>
        </w:rPr>
      </w:pPr>
      <w:r>
        <w:rPr>
          <w:rStyle w:val="C9"/>
          <w:rtl w:val="0"/>
        </w:rPr>
        <w:t>Nazwa chemiczna wspólna lub nazwa IUPAC</w:t>
      </w:r>
    </w:p>
    <w:p>
      <w:pPr>
        <w:pStyle w:val="P7"/>
        <w:framePr w:w="2918" w:h="386" w:hRule="exact" w:vAnchor="page" w:hAnchor="margin" w:x="6074" w:y="6993"/>
        <w:rPr>
          <w:rStyle w:val="C3"/>
          <w:rtl w:val="0"/>
        </w:rPr>
      </w:pPr>
    </w:p>
    <w:p>
      <w:pPr>
        <w:pStyle w:val="P8"/>
        <w:framePr w:w="2892" w:h="356" w:hRule="exact" w:vAnchor="page" w:hAnchor="margin" w:x="6072" w:y="7008"/>
        <w:rPr>
          <w:rStyle w:val="C9"/>
          <w:rtl w:val="0"/>
        </w:rPr>
      </w:pPr>
      <w:r>
        <w:rPr>
          <w:rStyle w:val="C9"/>
          <w:rtl w:val="0"/>
        </w:rPr>
        <w:t>INCI</w:t>
      </w:r>
    </w:p>
    <w:p>
      <w:pPr>
        <w:pStyle w:val="P9"/>
        <w:framePr w:w="1384" w:h="386" w:hRule="exact" w:vAnchor="page" w:hAnchor="margin" w:x="9036" w:y="6993"/>
        <w:rPr>
          <w:rStyle w:val="C3"/>
          <w:rtl w:val="0"/>
        </w:rPr>
      </w:pPr>
    </w:p>
    <w:p>
      <w:pPr>
        <w:pStyle w:val="P10"/>
        <w:framePr w:w="1388" w:h="356" w:hRule="exact" w:vAnchor="page" w:hAnchor="margin" w:x="9034" w:y="7008"/>
        <w:rPr>
          <w:rStyle w:val="C10"/>
          <w:rtl w:val="0"/>
        </w:rPr>
      </w:pPr>
      <w:r>
        <w:rPr>
          <w:rStyle w:val="C10"/>
          <w:rtl w:val="0"/>
        </w:rPr>
        <w:t>Farmakopei Europejskiej</w:t>
      </w:r>
    </w:p>
    <w:p>
      <w:pPr>
        <w:pStyle w:val="P11"/>
        <w:framePr w:w="1214" w:h="386" w:hRule="exact" w:vAnchor="page" w:hAnchor="margin" w:x="45" w:y="7379"/>
        <w:rPr>
          <w:rStyle w:val="C3"/>
          <w:rtl w:val="0"/>
        </w:rPr>
      </w:pPr>
    </w:p>
    <w:p>
      <w:pPr>
        <w:pStyle w:val="P12"/>
        <w:framePr w:w="1188" w:h="356" w:hRule="exact" w:vAnchor="page" w:hAnchor="margin" w:x="43" w:y="7394"/>
        <w:rPr>
          <w:rStyle w:val="C11"/>
          <w:rtl w:val="0"/>
        </w:rPr>
      </w:pPr>
      <w:r>
        <w:rPr>
          <w:rStyle w:val="C11"/>
          <w:rtl w:val="0"/>
        </w:rPr>
        <w:t>55965-84-9</w:t>
      </w:r>
    </w:p>
    <w:p>
      <w:pPr>
        <w:pStyle w:val="P11"/>
        <w:framePr w:w="4724" w:h="386" w:hRule="exact" w:vAnchor="page" w:hAnchor="margin" w:x="1304" w:y="7379"/>
        <w:rPr>
          <w:rStyle w:val="C3"/>
          <w:rtl w:val="0"/>
        </w:rPr>
      </w:pPr>
    </w:p>
    <w:p>
      <w:pPr>
        <w:pStyle w:val="P12"/>
        <w:framePr w:w="4698" w:h="356" w:hRule="exact" w:vAnchor="page" w:hAnchor="margin" w:x="1302" w:y="7394"/>
        <w:rPr>
          <w:rStyle w:val="C11"/>
          <w:rtl w:val="0"/>
        </w:rPr>
      </w:pPr>
      <w:r>
        <w:rPr>
          <w:rStyle w:val="C11"/>
          <w:rtl w:val="0"/>
        </w:rPr>
        <w:t>masa poreakcyjna 5-chloro-2-metylo-2H-izotiazol-3-onu i 2-metylo-2H-izotiazol-3-onu(3:1)</w:t>
      </w:r>
    </w:p>
    <w:p>
      <w:pPr>
        <w:pStyle w:val="P11"/>
        <w:framePr w:w="2918" w:h="386" w:hRule="exact" w:vAnchor="page" w:hAnchor="margin" w:x="6074" w:y="7379"/>
        <w:rPr>
          <w:rStyle w:val="C3"/>
          <w:rtl w:val="0"/>
        </w:rPr>
      </w:pPr>
    </w:p>
    <w:p>
      <w:pPr>
        <w:pStyle w:val="P12"/>
        <w:framePr w:w="2892" w:h="356" w:hRule="exact" w:vAnchor="page" w:hAnchor="margin" w:x="6072" w:y="7394"/>
        <w:rPr>
          <w:rStyle w:val="C11"/>
          <w:rtl w:val="0"/>
        </w:rPr>
      </w:pPr>
      <w:r>
        <w:rPr>
          <w:rStyle w:val="C11"/>
          <w:rtl w:val="0"/>
        </w:rPr>
        <w:t>METHYLCHLOROISOTHIAZOLINONE / METHYLISOTHIAZOLINONE</w:t>
      </w:r>
    </w:p>
    <w:p>
      <w:pPr>
        <w:pStyle w:val="P13"/>
        <w:framePr w:w="1384" w:h="386" w:hRule="exact" w:vAnchor="page" w:hAnchor="margin" w:x="9036" w:y="7379"/>
        <w:rPr>
          <w:rStyle w:val="C3"/>
          <w:rtl w:val="0"/>
        </w:rPr>
      </w:pPr>
    </w:p>
    <w:p>
      <w:pPr>
        <w:pStyle w:val="P14"/>
        <w:framePr w:w="1388" w:h="356" w:hRule="exact" w:vAnchor="page" w:hAnchor="margin" w:x="9034" w:y="7394"/>
        <w:rPr>
          <w:rStyle w:val="C12"/>
          <w:rtl w:val="0"/>
        </w:rPr>
      </w:pPr>
    </w:p>
    <w:p>
      <w:pPr>
        <w:pStyle w:val="P15"/>
        <w:framePr w:w="1384" w:h="244" w:hRule="exact" w:vAnchor="page" w:hAnchor="margin" w:x="28" w:y="15874"/>
        <w:rPr>
          <w:rStyle w:val="C13"/>
          <w:rtl w:val="0"/>
        </w:rPr>
      </w:pPr>
      <w:r>
        <w:rPr>
          <w:rStyle w:val="C13"/>
          <w:rtl w:val="0"/>
        </w:rPr>
        <w:t>10.11.2021</w:t>
      </w:r>
    </w:p>
    <w:p>
      <w:pPr>
        <w:pStyle w:val="P16"/>
        <w:framePr w:w="1384" w:h="244" w:hRule="exact" w:vAnchor="page" w:hAnchor="margin" w:x="9048" w:y="15874"/>
        <w:rPr>
          <w:rStyle w:val="C14"/>
          <w:rtl w:val="0"/>
        </w:rPr>
      </w:pPr>
      <w:r>
        <w:rPr>
          <w:rStyle w:val="C14"/>
          <w:rtl w:val="0"/>
        </w:rPr>
        <w:t>Strona 1/1</w:t>
      </w:r>
    </w:p>
    <w:sectPr>
      <w:type w:val="nextPage"/>
      <w:pgSz w:w="11908" w:h="16833"/>
      <w:pgMar w:left="720" w:right="720" w:top="720" w:bottom="720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1"/>
  <w:defaultTabStop w:val="720"/>
  <w:autoHyphenation w:val="0"/>
  <w:evenAndOddHeaders w:val="0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Calibri"/>
        <w:b w:val="0"/>
        <w:i w:val="0"/>
        <w:caps w:val="0"/>
        <w:strike w:val="0"/>
        <w:noProof w:val="0"/>
        <w:vanish w:val="0"/>
        <w:color w:val="auto"/>
        <w:sz w:val="22"/>
        <w:szCs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</w:style>
  <w:style w:type="paragraph" w:styleId="P1">
    <w:name w:val="ParagraphStyle0"/>
    <w:hidden/>
    <w:pPr>
      <w:bidi w:val="0"/>
      <w:jc w:val="left"/>
    </w:pPr>
  </w:style>
  <w:style w:type="paragraph" w:styleId="P2">
    <w:name w:val="ParagraphStyle1"/>
    <w:hidden/>
    <w:pPr>
      <w:bidi w:val="0"/>
      <w:jc w:val="center"/>
    </w:pPr>
  </w:style>
  <w:style w:type="paragraph" w:styleId="P3">
    <w:name w:val="ParagraphStyle2"/>
    <w:hidden/>
    <w:pPr>
      <w:bidi w:val="0"/>
      <w:jc w:val="center"/>
    </w:pPr>
  </w:style>
  <w:style w:type="paragraph" w:styleId="P4">
    <w:name w:val="ParagraphStyle3"/>
    <w:hidden/>
    <w:pPr>
      <w:bidi w:val="0"/>
      <w:jc w:val="left"/>
    </w:pPr>
  </w:style>
  <w:style w:type="paragraph" w:styleId="P5">
    <w:name w:val="ParagraphStyle4"/>
    <w:hidden/>
    <w:pPr>
      <w:pBdr>
        <w:top w:val="single" w:sz="6" w:space="0" w:shadow="0" w:frame="0" w:color="000000"/>
        <w:left w:val="single" w:sz="6" w:space="0" w:shadow="0" w:frame="0" w:color="000000"/>
        <w:right w:val="single" w:sz="6" w:space="0" w:shadow="0" w:frame="0" w:color="000000"/>
      </w:pBdr>
      <w:shd w:val="clear" w:fill="7F7F7F"/>
    </w:pPr>
  </w:style>
  <w:style w:type="paragraph" w:styleId="P6">
    <w:name w:val="ParagraphStyle5"/>
    <w:hidden/>
    <w:pPr>
      <w:bidi w:val="0"/>
      <w:jc w:val="center"/>
    </w:pPr>
  </w:style>
  <w:style w:type="paragraph" w:styleId="P7">
    <w:name w:val="ParagraphStyle6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D8D8D8"/>
    </w:pPr>
  </w:style>
  <w:style w:type="paragraph" w:styleId="P8">
    <w:name w:val="ParagraphStyle7"/>
    <w:hidden/>
    <w:pPr>
      <w:bidi w:val="0"/>
      <w:jc w:val="center"/>
    </w:pPr>
  </w:style>
  <w:style w:type="paragraph" w:styleId="P9">
    <w:name w:val="ParagraphStyle8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D8D8D8"/>
    </w:pPr>
  </w:style>
  <w:style w:type="paragraph" w:styleId="P10">
    <w:name w:val="ParagraphStyle9"/>
    <w:hidden/>
    <w:pPr>
      <w:bidi w:val="0"/>
      <w:jc w:val="center"/>
    </w:pPr>
  </w:style>
  <w:style w:type="paragraph" w:styleId="P11">
    <w:name w:val="ParagraphStyle10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</w:pBdr>
      <w:shd w:val="clear" w:fill="auto"/>
    </w:pPr>
  </w:style>
  <w:style w:type="paragraph" w:styleId="P12">
    <w:name w:val="ParagraphStyle11"/>
    <w:hidden/>
    <w:pPr>
      <w:bidi w:val="0"/>
      <w:jc w:val="left"/>
    </w:pPr>
  </w:style>
  <w:style w:type="paragraph" w:styleId="P13">
    <w:name w:val="ParagraphStyle12"/>
    <w:hidden/>
    <w:pPr>
      <w:pBdr>
        <w:top w:val="single" w:sz="6" w:space="0" w:shadow="0" w:frame="0" w:color="000000"/>
        <w:left w:val="single" w:sz="6" w:space="0" w:shadow="0" w:frame="0" w:color="000000"/>
        <w:bottom w:val="single" w:sz="6" w:space="0" w:shadow="0" w:frame="0" w:color="000000"/>
        <w:right w:val="single" w:sz="6" w:space="0" w:shadow="0" w:frame="0" w:color="000000"/>
      </w:pBdr>
      <w:shd w:val="clear" w:fill="auto"/>
    </w:pPr>
  </w:style>
  <w:style w:type="paragraph" w:styleId="P14">
    <w:name w:val="ParagraphStyle13"/>
    <w:hidden/>
    <w:pPr>
      <w:bidi w:val="0"/>
      <w:jc w:val="left"/>
    </w:pPr>
  </w:style>
  <w:style w:type="paragraph" w:styleId="P15">
    <w:name w:val="ParagraphStyle14"/>
    <w:hidden/>
    <w:pPr>
      <w:bidi w:val="0"/>
      <w:jc w:val="left"/>
    </w:pPr>
  </w:style>
  <w:style w:type="paragraph" w:styleId="P16">
    <w:name w:val="ParagraphStyle15"/>
    <w:hidden/>
    <w:pPr>
      <w:bidi w:val="0"/>
      <w:jc w:val="right"/>
    </w:pPr>
  </w:style>
  <w:style w:type="character" w:styleId="C0" w:default="1">
    <w:name w:val="Default Paragraph Font"/>
    <w:semiHidden/>
  </w:style>
  <w:style w:type="character" w:styleId="C1">
    <w:name w:val="Line Number"/>
    <w:basedOn w:val="C0"/>
    <w:semiHidden/>
  </w:style>
  <w:style w:type="character" w:styleId="C2">
    <w:name w:val="Hyperlink"/>
    <w:rPr>
      <w:color w:val="0000FF"/>
      <w:u w:val="single"/>
    </w:rPr>
  </w:style>
  <w:style w:type="character" w:styleId="C3">
    <w:name w:val="FakeCharacterStyle"/>
    <w:hidden/>
    <w:rPr>
      <w:sz w:val="1"/>
      <w:szCs w:val="1"/>
    </w:rPr>
  </w:style>
  <w:style w:type="character" w:styleId="C4">
    <w:name w:val="CharacterStyle0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5">
    <w:name w:val="CharacterStyle1"/>
    <w:hidden/>
    <w:rPr>
      <w:rFonts w:ascii="Tahoma" w:hAnsi="Tahoma" w:eastAsia="Tahoma"/>
      <w:b w:val="1"/>
      <w:i w:val="0"/>
      <w:strike w:val="0"/>
      <w:noProof w:val="1"/>
      <w:color w:val="000000"/>
      <w:sz w:val="22"/>
      <w:szCs w:val="22"/>
      <w:u w:val="none"/>
    </w:rPr>
  </w:style>
  <w:style w:type="character" w:styleId="C6">
    <w:name w:val="CharacterStyle2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7">
    <w:name w:val="CharacterStyle3"/>
    <w:hidden/>
    <w:rPr>
      <w:rFonts w:ascii="Tahoma" w:hAnsi="Tahoma" w:eastAsia="Tahoma"/>
      <w:b w:val="0"/>
      <w:i w:val="0"/>
      <w:strike w:val="0"/>
      <w:noProof w:val="1"/>
      <w:color w:val="000000"/>
      <w:sz w:val="19"/>
      <w:szCs w:val="19"/>
      <w:u w:val="none"/>
    </w:rPr>
  </w:style>
  <w:style w:type="character" w:styleId="C8">
    <w:name w:val="CharacterStyle4"/>
    <w:hidden/>
    <w:rPr>
      <w:rFonts w:ascii="Tahoma" w:hAnsi="Tahoma" w:eastAsia="Tahoma"/>
      <w:b w:val="1"/>
      <w:i w:val="0"/>
      <w:strike w:val="0"/>
      <w:noProof w:val="1"/>
      <w:color w:val="FFFFFF"/>
      <w:sz w:val="16"/>
      <w:szCs w:val="16"/>
      <w:u w:val="none"/>
    </w:rPr>
  </w:style>
  <w:style w:type="character" w:styleId="C9">
    <w:name w:val="CharacterStyle5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0">
    <w:name w:val="CharacterStyle6"/>
    <w:hidden/>
    <w:rPr>
      <w:rFonts w:ascii="Tahoma" w:hAnsi="Tahoma" w:eastAsia="Tahoma"/>
      <w:b w:val="1"/>
      <w:i w:val="0"/>
      <w:strike w:val="0"/>
      <w:noProof w:val="1"/>
      <w:color w:val="000000"/>
      <w:sz w:val="13"/>
      <w:szCs w:val="13"/>
      <w:u w:val="none"/>
    </w:rPr>
  </w:style>
  <w:style w:type="character" w:styleId="C11">
    <w:name w:val="CharacterStyle7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2">
    <w:name w:val="CharacterStyle8"/>
    <w:hidden/>
    <w:rPr>
      <w:rFonts w:ascii="Tahoma" w:hAnsi="Tahoma" w:eastAsia="Tahoma"/>
      <w:b w:val="0"/>
      <w:i w:val="0"/>
      <w:strike w:val="0"/>
      <w:noProof w:val="1"/>
      <w:color w:val="000000"/>
      <w:sz w:val="13"/>
      <w:szCs w:val="13"/>
      <w:u w:val="none"/>
    </w:rPr>
  </w:style>
  <w:style w:type="character" w:styleId="C13">
    <w:name w:val="CharacterStyle9"/>
    <w:hidden/>
    <w:rPr>
      <w:rFonts w:ascii="Tahoma" w:hAnsi="Tahoma" w:eastAsia="Tahoma"/>
      <w:b w:val="0"/>
      <w:i w:val="0"/>
      <w:strike w:val="0"/>
      <w:noProof w:val="1"/>
      <w:color w:val="000000"/>
      <w:sz w:val="16"/>
      <w:szCs w:val="16"/>
      <w:u w:val="none"/>
    </w:rPr>
  </w:style>
  <w:style w:type="character" w:styleId="C14">
    <w:name w:val="CharacterStyle10"/>
    <w:hidden/>
    <w:rPr>
      <w:rFonts w:ascii="Tahoma" w:hAnsi="Tahoma" w:eastAsia="Tahoma"/>
      <w:b w:val="1"/>
      <w:i w:val="0"/>
      <w:strike w:val="0"/>
      <w:noProof w:val="1"/>
      <w:color w:val="000000"/>
      <w:sz w:val="16"/>
      <w:szCs w:val="16"/>
      <w:u w:val="non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/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DXVersion">
    <vt:lpwstr>18.1.15.0</vt:lpwstr>
  </property>
</Properties>
</file>